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F1115B" w:rsidP="00D77A37">
            <w:pPr>
              <w:rPr>
                <w:rFonts w:asciiTheme="minorHAnsi" w:hAnsiTheme="minorHAnsi" w:cstheme="minorHAnsi"/>
              </w:rPr>
            </w:pPr>
            <w:r>
              <w:rPr>
                <w:rFonts w:asciiTheme="minorHAnsi" w:hAnsiTheme="minorHAnsi" w:cstheme="minorHAnsi"/>
              </w:rPr>
              <w:t>Jan. 2016</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F1115B" w:rsidP="0022138E">
            <w:pPr>
              <w:rPr>
                <w:rFonts w:asciiTheme="minorHAnsi" w:hAnsiTheme="minorHAnsi" w:cstheme="minorHAnsi"/>
              </w:rPr>
            </w:pPr>
            <w:r w:rsidRPr="00AC1FE4">
              <w:rPr>
                <w:rFonts w:asciiTheme="minorHAnsi" w:hAnsiTheme="minorHAnsi" w:cstheme="minorHAnsi"/>
              </w:rPr>
              <w:t>May 2015</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E55FE8" w:rsidP="00F1115B">
            <w:pPr>
              <w:jc w:val="center"/>
              <w:rPr>
                <w:rFonts w:asciiTheme="minorHAnsi" w:hAnsiTheme="minorHAnsi" w:cstheme="minorHAnsi"/>
                <w:sz w:val="22"/>
                <w:szCs w:val="22"/>
              </w:rPr>
            </w:pPr>
            <w:r>
              <w:rPr>
                <w:i/>
              </w:rPr>
              <w:t>“</w:t>
            </w:r>
            <w:r w:rsidR="00F1115B">
              <w:rPr>
                <w:i/>
              </w:rPr>
              <w:t>Robert S. Chapman</w:t>
            </w:r>
            <w:r>
              <w:rPr>
                <w:i/>
              </w:rPr>
              <w:t>”</w:t>
            </w:r>
          </w:p>
        </w:tc>
        <w:tc>
          <w:tcPr>
            <w:tcW w:w="1548" w:type="dxa"/>
            <w:gridSpan w:val="2"/>
          </w:tcPr>
          <w:p w:rsidR="00D03EA8" w:rsidRPr="00AC1FE4" w:rsidRDefault="00E55FE8" w:rsidP="00F1115B">
            <w:pPr>
              <w:rPr>
                <w:rFonts w:asciiTheme="minorHAnsi" w:hAnsiTheme="minorHAnsi" w:cstheme="minorHAnsi"/>
                <w:sz w:val="22"/>
                <w:szCs w:val="22"/>
              </w:rPr>
            </w:pPr>
            <w:r>
              <w:rPr>
                <w:i/>
              </w:rPr>
              <w:t>Jan. 201</w:t>
            </w:r>
            <w:r w:rsidR="00F1115B">
              <w:rPr>
                <w:i/>
              </w:rPr>
              <w:t>7</w:t>
            </w:r>
          </w:p>
        </w:tc>
      </w:tr>
      <w:tr w:rsidR="00D03EA8" w:rsidRPr="00AC1FE4">
        <w:trPr>
          <w:cantSplit/>
        </w:trPr>
        <w:tc>
          <w:tcPr>
            <w:tcW w:w="2518" w:type="dxa"/>
          </w:tcPr>
          <w:p w:rsidR="00D03EA8" w:rsidRPr="00AC1FE4" w:rsidRDefault="00D03EA8">
            <w:pPr>
              <w:rPr>
                <w:rFonts w:asciiTheme="minorHAnsi" w:hAnsiTheme="minorHAnsi" w:cstheme="minorHAnsi"/>
              </w:rPr>
            </w:pPr>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F4266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Lab 3 hours/week x 13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6E4FE0">
              <w:rPr>
                <w:rFonts w:asciiTheme="minorHAnsi" w:hAnsiTheme="minorHAnsi" w:cstheme="minorHAnsi"/>
                <w:color w:val="000000" w:themeColor="text1"/>
              </w:rPr>
              <w:t>3</w:t>
            </w:r>
            <w:r w:rsidRPr="00AC1FE4">
              <w:rPr>
                <w:rFonts w:asciiTheme="minorHAnsi" w:hAnsiTheme="minorHAnsi" w:cstheme="minorHAnsi"/>
                <w:color w:val="000000" w:themeColor="text1"/>
              </w:rPr>
              <w:t xml:space="preserve"> hours x 10</w:t>
            </w:r>
            <w:r w:rsidR="008160BA" w:rsidRPr="00AC1FE4">
              <w:rPr>
                <w:rFonts w:asciiTheme="minorHAnsi" w:hAnsiTheme="minorHAnsi" w:cstheme="minorHAnsi"/>
                <w:color w:val="000000" w:themeColor="text1"/>
              </w:rPr>
              <w:t xml:space="preserve"> weeks</w:t>
            </w:r>
          </w:p>
          <w:p w:rsidR="008E757B" w:rsidRPr="00AC1FE4" w:rsidRDefault="008160BA">
            <w:pPr>
              <w:rPr>
                <w:rFonts w:asciiTheme="minorHAnsi" w:hAnsiTheme="minorHAnsi" w:cstheme="minorHAnsi"/>
              </w:rPr>
            </w:pPr>
            <w:r w:rsidRPr="00AC1FE4">
              <w:rPr>
                <w:rFonts w:asciiTheme="minorHAnsi" w:hAnsiTheme="minorHAnsi" w:cstheme="minorHAnsi"/>
                <w:color w:val="000000" w:themeColor="text1"/>
              </w:rPr>
              <w:t>Community 80</w:t>
            </w:r>
            <w:r w:rsidR="008E757B" w:rsidRPr="00AC1FE4">
              <w:rPr>
                <w:rFonts w:asciiTheme="minorHAnsi" w:hAnsiTheme="minorHAnsi" w:cstheme="minorHAnsi"/>
                <w:color w:val="000000" w:themeColor="text1"/>
              </w:rPr>
              <w:t xml:space="preserve"> hours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F1115B">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F1115B">
              <w:rPr>
                <w:rFonts w:asciiTheme="minorHAnsi" w:hAnsiTheme="minorHAnsi" w:cstheme="minorHAnsi"/>
                <w:i/>
                <w:lang w:val="en-GB"/>
              </w:rPr>
              <w:t>Community Services</w:t>
            </w:r>
            <w:r w:rsidR="009A0E94" w:rsidRPr="00AC1FE4">
              <w:rPr>
                <w:rFonts w:asciiTheme="minorHAnsi" w:hAnsiTheme="minorHAnsi" w:cstheme="minorHAnsi"/>
                <w:i/>
                <w:lang w:val="en-GB"/>
              </w:rPr>
              <w:t xml:space="preserve"> and Continuing Education</w:t>
            </w:r>
            <w:r w:rsidR="00F1115B">
              <w:rPr>
                <w:rFonts w:asciiTheme="minorHAnsi" w:hAnsiTheme="minorHAnsi" w:cstheme="minorHAnsi"/>
                <w:i/>
                <w:lang w:val="en-GB"/>
              </w:rPr>
              <w:t>.</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w:t>
            </w:r>
            <w:r w:rsidR="00F1115B">
              <w:rPr>
                <w:rFonts w:asciiTheme="minorHAnsi" w:hAnsiTheme="minorHAnsi" w:cstheme="minorHAnsi"/>
              </w:rPr>
              <w:t xml:space="preserve"> and D2L</w:t>
            </w:r>
            <w:r w:rsidRPr="00AC1FE4">
              <w:rPr>
                <w:rFonts w:asciiTheme="minorHAnsi" w:hAnsiTheme="minorHAnsi" w:cstheme="minorHAnsi"/>
              </w:rPr>
              <w:t xml:space="preserve">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bookmarkStart w:id="0" w:name="_GoBack"/>
      <w:bookmarkEnd w:id="0"/>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D" w:rsidRDefault="00DC613D">
      <w:r>
        <w:separator/>
      </w:r>
    </w:p>
  </w:endnote>
  <w:endnote w:type="continuationSeparator" w:id="0">
    <w:p w:rsidR="00DC613D" w:rsidRDefault="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D" w:rsidRDefault="00DC613D">
      <w:r>
        <w:separator/>
      </w:r>
    </w:p>
  </w:footnote>
  <w:footnote w:type="continuationSeparator" w:id="0">
    <w:p w:rsidR="00DC613D" w:rsidRDefault="00DC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1115B">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74DF8"/>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E4FE0"/>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D03EA8"/>
    <w:rsid w:val="00D1158E"/>
    <w:rsid w:val="00D32E7A"/>
    <w:rsid w:val="00D52D24"/>
    <w:rsid w:val="00D744BB"/>
    <w:rsid w:val="00D77A37"/>
    <w:rsid w:val="00DA6974"/>
    <w:rsid w:val="00DC613D"/>
    <w:rsid w:val="00DD1E68"/>
    <w:rsid w:val="00DD2065"/>
    <w:rsid w:val="00DD67FF"/>
    <w:rsid w:val="00DF1328"/>
    <w:rsid w:val="00E03A8E"/>
    <w:rsid w:val="00E03BC5"/>
    <w:rsid w:val="00E31BC1"/>
    <w:rsid w:val="00E366A5"/>
    <w:rsid w:val="00E51912"/>
    <w:rsid w:val="00E55FE8"/>
    <w:rsid w:val="00E60586"/>
    <w:rsid w:val="00E61FA7"/>
    <w:rsid w:val="00E65E46"/>
    <w:rsid w:val="00E93FAA"/>
    <w:rsid w:val="00EA1568"/>
    <w:rsid w:val="00EA2F1E"/>
    <w:rsid w:val="00EF1DF7"/>
    <w:rsid w:val="00F1115B"/>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C6DB6-0FB4-4BB0-AA67-617CFF65F44C}">
  <ds:schemaRefs>
    <ds:schemaRef ds:uri="http://schemas.openxmlformats.org/officeDocument/2006/bibliography"/>
  </ds:schemaRefs>
</ds:datastoreItem>
</file>

<file path=customXml/itemProps2.xml><?xml version="1.0" encoding="utf-8"?>
<ds:datastoreItem xmlns:ds="http://schemas.openxmlformats.org/officeDocument/2006/customXml" ds:itemID="{155857C0-FAC7-4D6C-93FC-06A8807AF64B}"/>
</file>

<file path=customXml/itemProps3.xml><?xml version="1.0" encoding="utf-8"?>
<ds:datastoreItem xmlns:ds="http://schemas.openxmlformats.org/officeDocument/2006/customXml" ds:itemID="{30F39362-6AFD-457B-AA5F-CD8903CD0EF0}"/>
</file>

<file path=customXml/itemProps4.xml><?xml version="1.0" encoding="utf-8"?>
<ds:datastoreItem xmlns:ds="http://schemas.openxmlformats.org/officeDocument/2006/customXml" ds:itemID="{E9DDB850-2C9C-4B2D-9D31-5DF0FB49E864}"/>
</file>

<file path=docProps/app.xml><?xml version="1.0" encoding="utf-8"?>
<Properties xmlns="http://schemas.openxmlformats.org/officeDocument/2006/extended-properties" xmlns:vt="http://schemas.openxmlformats.org/officeDocument/2006/docPropsVTypes">
  <Template>Normal.dotm</Template>
  <TotalTime>582</TotalTime>
  <Pages>9</Pages>
  <Words>2205</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ITS Deploy</cp:lastModifiedBy>
  <cp:revision>51</cp:revision>
  <cp:lastPrinted>2017-01-23T15:21:00Z</cp:lastPrinted>
  <dcterms:created xsi:type="dcterms:W3CDTF">2015-05-22T17:33:00Z</dcterms:created>
  <dcterms:modified xsi:type="dcterms:W3CDTF">2017-01-23T15:21:00Z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5693600</vt:r8>
  </property>
</Properties>
</file>